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drawing>
          <wp:inline xmlns:a="http://schemas.openxmlformats.org/drawingml/2006/main" xmlns:pic="http://schemas.openxmlformats.org/drawingml/2006/picture">
            <wp:extent cx="2304000" cy="537202"/>
            <wp:docPr id="1" name="Picture 1"/>
            <wp:cNvGraphicFramePr>
              <a:graphicFrameLocks noChangeAspect="1"/>
            </wp:cNvGraphicFramePr>
            <a:graphic>
              <a:graphicData uri="http://schemas.openxmlformats.org/drawingml/2006/picture">
                <pic:pic>
                  <pic:nvPicPr>
                    <pic:cNvPr id="0" name="mac360.png"/>
                    <pic:cNvPicPr/>
                  </pic:nvPicPr>
                  <pic:blipFill>
                    <a:blip r:embed="rId13"/>
                    <a:stretch>
                      <a:fillRect/>
                    </a:stretch>
                  </pic:blipFill>
                  <pic:spPr>
                    <a:xfrm>
                      <a:off x="0" y="0"/>
                      <a:ext cx="2304000" cy="537202"/>
                    </a:xfrm>
                    <a:prstGeom prst="rect"/>
                  </pic:spPr>
                </pic:pic>
              </a:graphicData>
            </a:graphic>
          </wp:inline>
        </w:drawing>
      </w:r>
    </w:p>
    <w:p>
      <w:pPr>
        <w:spacing w:after="0"/>
        <w:jc w:val="center"/>
      </w:pPr>
      <w:r>
        <w:rPr>
          <w:b/>
          <w:color w:val="1F2A44"/>
          <w:sz w:val="38"/>
        </w:rPr>
        <w:t>Contrato de prestación de servicios</w:t>
      </w:r>
    </w:p>
    <w:p>
      <w:pPr>
        <w:spacing w:after="0"/>
        <w:jc w:val="center"/>
      </w:pPr>
      <w:r>
        <w:rPr>
          <w:b w:val="0"/>
          <w:color w:val="5C6678"/>
          <w:sz w:val="20"/>
        </w:rPr>
        <w:t>Sistema MAC 360 de captación, cualificación y seguimiento · Doce meses</w:t>
      </w:r>
    </w:p>
    <w:p>
      <w:pPr>
        <w:spacing w:before="120" w:after="280"/>
        <w:pBdr>
          <w:bottom w:val="single" w:sz="10" w:space="1" w:color="4C95CD"/>
        </w:pBdr>
      </w:pPr>
    </w:p>
    <w:p>
      <w:pPr>
        <w:spacing w:after="320"/>
        <w:jc w:val="center"/>
      </w:pPr>
      <w:r>
        <w:rPr>
          <w:i/>
          <w:color w:val="5C6678"/>
          <w:sz w:val="18"/>
        </w:rPr>
        <w:t>Contrato tipo · La modalidad aplicable y los campos en blanco se completan antes de firmar.</w:t>
      </w:r>
    </w:p>
    <w:p>
      <w:pPr>
        <w:spacing w:after="140"/>
      </w:pPr>
      <w:r>
        <w:t>En ______________ (ciudad), a ____ de ____________ de 20____.</w:t>
      </w:r>
    </w:p>
    <w:p>
      <w:pPr>
        <w:spacing w:after="120"/>
        <w:jc w:val="left"/>
      </w:pPr>
      <w:r>
        <w:rPr>
          <w:b/>
          <w:caps/>
          <w:color w:val="1F2A44"/>
          <w:sz w:val="23"/>
        </w:rPr>
        <w:t>Reunidos</w:t>
      </w:r>
    </w:p>
    <w:p>
      <w:pPr>
        <w:spacing w:after="140"/>
        <w:jc w:val="both"/>
      </w:pPr>
      <w:r>
        <w:t>De una parte, ______________________________ (en adelante, «la Agencia»), con NIF ______________ y domicilio en ______________________________, representada por D./D.ª ______________________________, en su calidad de ______________.</w:t>
      </w:r>
    </w:p>
    <w:p>
      <w:pPr>
        <w:spacing w:after="140"/>
        <w:jc w:val="both"/>
      </w:pPr>
      <w:r>
        <w:t>De otra parte, ______________________________ (en adelante, «el Cliente»), con NIF ______________ y domicilio en ______________________________, representada por D./D.ª ______________________________, en su calidad de ______________.</w:t>
      </w:r>
    </w:p>
    <w:p>
      <w:pPr>
        <w:spacing w:after="140"/>
      </w:pPr>
      <w:r>
        <w:t>Ambas partes se reconocen capacidad legal suficiente y, a tal efecto,</w:t>
      </w:r>
    </w:p>
    <w:p>
      <w:pPr>
        <w:spacing w:after="120"/>
        <w:jc w:val="left"/>
      </w:pPr>
      <w:r>
        <w:rPr>
          <w:b/>
          <w:caps/>
          <w:color w:val="1F2A44"/>
          <w:sz w:val="23"/>
        </w:rPr>
        <w:t>Exponen</w:t>
      </w:r>
    </w:p>
    <w:p>
      <w:pPr>
        <w:spacing w:after="140"/>
        <w:jc w:val="both"/>
      </w:pPr>
      <w:r>
        <w:t>I. Que el Cliente desarrolla su actividad en el sector de la construcción de viviendas unifamiliares llave en mano.</w:t>
      </w:r>
    </w:p>
    <w:p>
      <w:pPr>
        <w:spacing w:after="140"/>
        <w:jc w:val="both"/>
      </w:pPr>
      <w:r>
        <w:t>II. Que la Agencia presta el servicio MAC 360: un sistema de captación, cualificación y seguimiento de contactos interesados en los proyectos del Cliente.</w:t>
      </w:r>
    </w:p>
    <w:p>
      <w:pPr>
        <w:spacing w:after="140"/>
      </w:pPr>
      <w:r>
        <w:t>III. Que ambas partes desean regular las condiciones del servicio conforme a las siguientes</w:t>
      </w:r>
    </w:p>
    <w:p>
      <w:pPr>
        <w:spacing w:after="120"/>
        <w:jc w:val="left"/>
      </w:pPr>
      <w:r>
        <w:rPr>
          <w:b/>
          <w:caps/>
          <w:color w:val="1F2A44"/>
          <w:sz w:val="23"/>
        </w:rPr>
        <w:t>Cláusulas</w:t>
      </w:r>
    </w:p>
    <w:p>
      <w:pPr>
        <w:keepNext/>
        <w:spacing w:before="320" w:after="100"/>
        <w:pBdr>
          <w:bottom w:val="single" w:sz="4" w:space="3" w:color="E8EDF3"/>
        </w:pBdr>
      </w:pPr>
      <w:r>
        <w:rPr>
          <w:b/>
          <w:color w:val="1F2A44"/>
          <w:sz w:val="23"/>
        </w:rPr>
        <w:t>1. Objeto del contrato</w:t>
      </w:r>
    </w:p>
    <w:p>
      <w:pPr>
        <w:spacing w:after="140"/>
        <w:jc w:val="both"/>
      </w:pPr>
      <w:r>
        <w:t>La Agencia diseñará, montará y gestionará para el Cliente el sistema MAC 360, un conjunto de herramientas y procesos de captación, cualificación y seguimiento de contactos interesados en los proyectos del Cliente. El servicio incluye:</w:t>
      </w:r>
    </w:p>
    <w:p>
      <w:pPr>
        <w:pStyle w:val="ListBullet"/>
        <w:spacing w:after="40"/>
        <w:ind w:left="397"/>
      </w:pPr>
      <w:r>
        <w:t>Estrategia, diseño y guiones de las campañas publicitarias en Meta.</w:t>
      </w:r>
    </w:p>
    <w:p>
      <w:pPr>
        <w:pStyle w:val="ListBullet"/>
        <w:spacing w:after="40"/>
        <w:ind w:left="397"/>
      </w:pPr>
      <w:r>
        <w:t>Página de aterrizaje en formato escrito, con formulario de cualificación.</w:t>
      </w:r>
    </w:p>
    <w:p>
      <w:pPr>
        <w:pStyle w:val="ListBullet"/>
        <w:spacing w:after="40"/>
        <w:ind w:left="397"/>
      </w:pPr>
      <w:r>
        <w:t>Agenda vinculada al calendario del Cliente, con avisos automáticos al equipo.</w:t>
      </w:r>
    </w:p>
    <w:p>
      <w:pPr>
        <w:pStyle w:val="ListBullet"/>
        <w:spacing w:after="40"/>
        <w:ind w:left="397"/>
      </w:pPr>
      <w:r>
        <w:t>Plataforma y CRM Go High Level, con automatizaciones de seguimiento por email, SMS y WhatsApp.</w:t>
      </w:r>
    </w:p>
    <w:p>
      <w:pPr>
        <w:pStyle w:val="ListBullet"/>
        <w:spacing w:after="40"/>
        <w:ind w:left="397"/>
      </w:pPr>
      <w:r>
        <w:t>Gestión y optimización continua de las campañas.</w:t>
      </w:r>
    </w:p>
    <w:p>
      <w:pPr>
        <w:pStyle w:val="ListBullet"/>
        <w:spacing w:after="40"/>
        <w:ind w:left="397"/>
      </w:pPr>
      <w:r>
        <w:t>Reuniones de seguimiento, medición y balance anual.</w:t>
      </w:r>
    </w:p>
    <w:p>
      <w:pPr>
        <w:spacing w:after="160"/>
      </w:pPr>
      <w:r>
        <w:rPr>
          <w:i/>
          <w:color w:val="5C6678"/>
          <w:sz w:val="19"/>
        </w:rPr>
        <w:t>La Agencia podrá actualizar o mejorar las herramientas, los contenidos y los procesos internos del sistema con el fin de prestar un mejor servicio, sin reducir el alcance contratado.</w:t>
      </w:r>
    </w:p>
    <w:p>
      <w:pPr>
        <w:keepNext/>
        <w:spacing w:before="320" w:after="100"/>
        <w:pBdr>
          <w:bottom w:val="single" w:sz="4" w:space="3" w:color="E8EDF3"/>
        </w:pBdr>
      </w:pPr>
      <w:r>
        <w:rPr>
          <w:b/>
          <w:color w:val="1F2A44"/>
          <w:sz w:val="23"/>
        </w:rPr>
        <w:t>2. Duración</w:t>
      </w:r>
    </w:p>
    <w:p>
      <w:pPr>
        <w:spacing w:after="140"/>
        <w:jc w:val="both"/>
      </w:pPr>
      <w:r>
        <w:t>El contrato tendrá una duración de doce (12) meses desde la fecha de inicio del servicio, que se fijará por escrito una vez aportada la información y el material necesarios por el Cliente. Finalizado dicho periodo, la renovación será opcional para ambas partes y se acordará al precio vigente en ese momento.</w:t>
      </w:r>
    </w:p>
    <w:p>
      <w:pPr>
        <w:keepNext/>
        <w:spacing w:before="320" w:after="100"/>
        <w:pBdr>
          <w:bottom w:val="single" w:sz="4" w:space="3" w:color="E8EDF3"/>
        </w:pBdr>
      </w:pPr>
      <w:r>
        <w:rPr>
          <w:b/>
          <w:color w:val="1F2A44"/>
          <w:sz w:val="23"/>
        </w:rPr>
        <w:t>3. Precio y forma de pago</w:t>
      </w:r>
    </w:p>
    <w:p>
      <w:pPr>
        <w:spacing w:after="120"/>
        <w:jc w:val="both"/>
      </w:pPr>
      <w:r>
        <w:rPr>
          <w:b/>
          <w:color w:val="1F2A44"/>
        </w:rPr>
        <w:t xml:space="preserve">3.1. </w:t>
      </w:r>
      <w:r>
        <w:t>Cuota anual: 5.000 € (cinco mil euros) más IVA, por los doce meses de servicio. Forma de pago: ______________________________.</w:t>
      </w:r>
    </w:p>
    <w:p>
      <w:pPr>
        <w:spacing w:after="120"/>
        <w:jc w:val="both"/>
      </w:pPr>
      <w:r>
        <w:rPr>
          <w:b/>
          <w:color w:val="1F2A44"/>
        </w:rPr>
        <w:t xml:space="preserve">3.2. </w:t>
      </w:r>
      <w:r>
        <w:t>Modalidad aplicable, según se marque en la tabla siguiente:</w:t>
      </w:r>
    </w:p>
    <w:tbl>
      <w:tblPr>
        <w:tblW w:type="auto" w:w="0"/>
        <w:jc w:val="center"/>
        <w:tblLayout w:type="fixed"/>
        <w:tblLook w:firstColumn="1" w:firstRow="1" w:lastColumn="0" w:lastRow="0" w:noHBand="0" w:noVBand="1" w:val="04A0"/>
      </w:tblPr>
      <w:tblGrid>
        <w:gridCol w:w="4703"/>
        <w:gridCol w:w="4703"/>
      </w:tblGrid>
      <w:tr>
        <w:tc>
          <w:tcPr>
            <w:tcW w:type="dxa" w:w="8050"/>
            <w:shd w:val="clear" w:color="auto" w:fill="F7F9FC"/>
            <w:tcBorders>
              <w:top w:val="single" w:sz="4" w:color="C9D2DE" w:space="0"/>
              <w:left w:val="single" w:sz="4" w:color="C9D2DE" w:space="0"/>
              <w:bottom w:val="single" w:sz="4" w:color="C9D2DE" w:space="0"/>
              <w:right w:val="nil"/>
            </w:tcBorders>
          </w:tcPr>
          <w:p>
            <w:pPr>
              <w:spacing w:before="80" w:after="80"/>
            </w:pPr>
            <w:r>
              <w:rPr>
                <w:sz w:val="20"/>
              </w:rPr>
              <w:t>A · Oferta habitual: comisión del 0,5 % sobre la facturación de cada proyecto firmado con un contacto generado por el sistema. La comisión se devenga cuando el Cliente cobra la primera parte de dicho proyecto.</w:t>
            </w:r>
          </w:p>
        </w:tc>
        <w:tc>
          <w:tcPr>
            <w:tcW w:type="dxa" w:w="907"/>
            <w:shd w:val="clear" w:color="auto" w:fill="F7F9FC"/>
            <w:tcBorders>
              <w:top w:val="single" w:sz="4" w:color="C9D2DE" w:space="0"/>
              <w:left w:val="nil"/>
              <w:bottom w:val="single" w:sz="4" w:color="C9D2DE" w:space="0"/>
              <w:right w:val="single" w:sz="4" w:color="C9D2DE" w:space="0"/>
            </w:tcBorders>
          </w:tcPr>
          <w:p>
            <w:pPr>
              <w:jc w:val="center"/>
            </w:pPr>
            <w:r>
              <w:rPr>
                <w:color w:val="1F2A44"/>
                <w:sz w:val="28"/>
              </w:rPr>
              <w:t>☐</w:t>
            </w:r>
          </w:p>
        </w:tc>
      </w:tr>
      <w:tr>
        <w:tc>
          <w:tcPr>
            <w:tcW w:type="dxa" w:w="8050"/>
            <w:shd w:val="clear" w:color="auto" w:fill="F7F9FC"/>
            <w:tcBorders>
              <w:top w:val="single" w:sz="4" w:color="C9D2DE" w:space="0"/>
              <w:left w:val="single" w:sz="4" w:color="C9D2DE" w:space="0"/>
              <w:bottom w:val="single" w:sz="4" w:color="C9D2DE" w:space="0"/>
              <w:right w:val="nil"/>
            </w:tcBorders>
          </w:tcPr>
          <w:p>
            <w:pPr>
              <w:spacing w:before="80" w:after="80"/>
            </w:pPr>
            <w:r>
              <w:rPr>
                <w:sz w:val="20"/>
              </w:rPr>
              <w:t>B · Cierre en el día: sin comisión por proyecto. La cuota anual lo cubre todo.</w:t>
            </w:r>
          </w:p>
        </w:tc>
        <w:tc>
          <w:tcPr>
            <w:tcW w:type="dxa" w:w="907"/>
            <w:shd w:val="clear" w:color="auto" w:fill="F7F9FC"/>
            <w:tcBorders>
              <w:top w:val="single" w:sz="4" w:color="C9D2DE" w:space="0"/>
              <w:left w:val="nil"/>
              <w:bottom w:val="single" w:sz="4" w:color="C9D2DE" w:space="0"/>
              <w:right w:val="single" w:sz="4" w:color="C9D2DE" w:space="0"/>
            </w:tcBorders>
          </w:tcPr>
          <w:p>
            <w:pPr>
              <w:jc w:val="center"/>
            </w:pPr>
            <w:r>
              <w:rPr>
                <w:color w:val="1F2A44"/>
                <w:sz w:val="28"/>
              </w:rPr>
              <w:t>☐</w:t>
            </w:r>
          </w:p>
        </w:tc>
      </w:tr>
    </w:tbl>
    <w:p>
      <w:pPr>
        <w:spacing w:after="40"/>
      </w:pPr>
    </w:p>
    <w:p>
      <w:pPr>
        <w:spacing w:after="120"/>
        <w:jc w:val="both"/>
      </w:pPr>
      <w:r>
        <w:rPr>
          <w:b/>
          <w:color w:val="1F2A44"/>
        </w:rPr>
        <w:t xml:space="preserve">3.3. </w:t>
      </w:r>
      <w:r>
        <w:t>Bonus por contratación en el día: si el Cliente firma el presente contrato en la fecha de la propuesta, quedan incluidos sin coste adicional 4 anuncios en vídeo realizados con inteligencia artificial, valorados en 600 € + IVA, con guión, locución, edición y producción.</w:t>
      </w:r>
    </w:p>
    <w:p>
      <w:pPr>
        <w:spacing w:after="120"/>
        <w:jc w:val="both"/>
      </w:pPr>
      <w:r>
        <w:rPr>
          <w:b/>
          <w:color w:val="1F2A44"/>
        </w:rPr>
        <w:t xml:space="preserve">3.4. </w:t>
      </w:r>
      <w:r>
        <w:t>Producción de anuncios: 600 € + IVA por paquete de 4 anuncios, partida no incluida en la cuota anual. El primer paquete queda incluido en la modalidad B.</w:t>
      </w:r>
    </w:p>
    <w:p>
      <w:pPr>
        <w:spacing w:after="120"/>
        <w:jc w:val="both"/>
      </w:pPr>
      <w:r>
        <w:rPr>
          <w:b/>
          <w:color w:val="1F2A44"/>
        </w:rPr>
        <w:t xml:space="preserve">3.5. </w:t>
      </w:r>
      <w:r>
        <w:t>Servicio opcional: vídeo de presentación (VSL) realizado con inteligencia artificial para la página de aterrizaje, con guión, locución, edición y producción incluidos, por 1.200 € + IVA en pago único. No está incluido en la cuota ni es necesario para el funcionamiento del sistema: la landing funciona en formato escrito.</w:t>
      </w:r>
    </w:p>
    <w:p>
      <w:pPr>
        <w:keepNext/>
        <w:spacing w:before="320" w:after="100"/>
        <w:pBdr>
          <w:bottom w:val="single" w:sz="4" w:space="3" w:color="E8EDF3"/>
        </w:pBdr>
      </w:pPr>
      <w:r>
        <w:rPr>
          <w:b/>
          <w:color w:val="1F2A44"/>
          <w:sz w:val="23"/>
        </w:rPr>
        <w:t>4. Inversión publicitaria y gastos aparte</w:t>
      </w:r>
    </w:p>
    <w:p>
      <w:pPr>
        <w:spacing w:after="140"/>
        <w:jc w:val="both"/>
      </w:pPr>
      <w:r>
        <w:t>La inversión en publicidad no está incluida en la cuota anual. El Cliente abonará directamente a la plataforma una inversión publicitaria mínima de 2.000 € (dos mil euros) al mes en Meta, que es el mínimo exigido para acogerse a la garantía de la cláusula 5 y que podrá modificar en todo momento desde su propia cuenta publicitaria. También correrán por cuenta del Cliente las plataformas y herramientas de terceros necesarias para el servicio (WhatsApp, dominios, hosting y servicios equivalentes). La Agencia no responde de las incidencias propias de estas plataformas externas.</w:t>
      </w:r>
    </w:p>
    <w:p>
      <w:pPr>
        <w:keepNext/>
        <w:spacing w:before="320" w:after="100"/>
        <w:pBdr>
          <w:bottom w:val="single" w:sz="4" w:space="3" w:color="E8EDF3"/>
        </w:pBdr>
      </w:pPr>
      <w:r>
        <w:rPr>
          <w:b/>
          <w:color w:val="1F2A44"/>
          <w:sz w:val="23"/>
        </w:rPr>
        <w:t>5. Garantía de resultados</w:t>
      </w:r>
    </w:p>
    <w:p>
      <w:pPr>
        <w:spacing w:after="120"/>
        <w:jc w:val="both"/>
      </w:pPr>
      <w:r>
        <w:rPr>
          <w:b/>
          <w:color w:val="1F2A44"/>
        </w:rPr>
        <w:t xml:space="preserve">5.1. </w:t>
      </w:r>
      <w:r>
        <w:t>La Agencia garantiza la obtención de cinco (5) proyectos extra para el Cliente durante los doce meses de servicio. Se entiende por proyecto extra aquel contrato de obra firmado por el Cliente con un contacto generado a través del sistema MAC 360.</w:t>
      </w:r>
    </w:p>
    <w:p>
      <w:pPr>
        <w:spacing w:after="120"/>
        <w:jc w:val="both"/>
      </w:pPr>
      <w:r>
        <w:rPr>
          <w:b/>
          <w:color w:val="1F2A44"/>
        </w:rPr>
        <w:t xml:space="preserve">5.2. </w:t>
      </w:r>
      <w:r>
        <w:t>Si transcurridos los doce meses no se hubieran obtenido los cinco proyectos extra, la Agencia devolverá al Cliente el importe íntegro de la cuota anual (5.000 €), siempre que el Cliente haya cumplido las condiciones de la cláusula 5.3.</w:t>
      </w:r>
    </w:p>
    <w:p>
      <w:pPr>
        <w:spacing w:after="120"/>
        <w:jc w:val="both"/>
      </w:pPr>
      <w:r>
        <w:rPr>
          <w:b/>
          <w:color w:val="1F2A44"/>
        </w:rPr>
        <w:t xml:space="preserve">5.3. </w:t>
      </w:r>
      <w:r>
        <w:t>Condiciones de la garantía: (a) llamar a todos los contactos cualificados en el mismo día de su llegada; (b) mantener la inversión publicitaria mínima acordada, de forma continuada; y (c) seguir las indicaciones razonables de la Agencia en la gestión comercial de los contactos.</w:t>
      </w:r>
    </w:p>
    <w:p>
      <w:pPr>
        <w:spacing w:after="120"/>
        <w:jc w:val="both"/>
      </w:pPr>
      <w:r>
        <w:rPr>
          <w:b/>
          <w:color w:val="1F2A44"/>
        </w:rPr>
        <w:t xml:space="preserve">5.4. </w:t>
      </w:r>
      <w:r>
        <w:t>La garantía quedará sin efecto si el Cliente incumple alguna de las condiciones anteriores, reduce la inversión publicitaria por debajo del mínimo acordado o no atiende los contactos recibidos.</w:t>
      </w:r>
    </w:p>
    <w:p>
      <w:pPr>
        <w:spacing w:after="120"/>
        <w:jc w:val="both"/>
      </w:pPr>
      <w:r>
        <w:rPr>
          <w:b/>
          <w:color w:val="1F2A44"/>
        </w:rPr>
        <w:t xml:space="preserve">5.5. </w:t>
      </w:r>
      <w:r>
        <w:t>El cumplimiento de estas condiciones se acreditará mediante los registros del CRM compartido por ambas partes.</w:t>
      </w:r>
    </w:p>
    <w:p>
      <w:pPr>
        <w:keepNext/>
        <w:spacing w:before="320" w:after="100"/>
        <w:pBdr>
          <w:bottom w:val="single" w:sz="4" w:space="3" w:color="E8EDF3"/>
        </w:pBdr>
      </w:pPr>
      <w:r>
        <w:rPr>
          <w:b/>
          <w:color w:val="1F2A44"/>
          <w:sz w:val="23"/>
        </w:rPr>
        <w:t>6. Puesta en marcha y seguimiento</w:t>
      </w:r>
    </w:p>
    <w:p>
      <w:pPr>
        <w:spacing w:after="120"/>
        <w:jc w:val="both"/>
      </w:pPr>
      <w:r>
        <w:rPr>
          <w:b/>
          <w:color w:val="1F2A44"/>
        </w:rPr>
        <w:t xml:space="preserve">6.1. </w:t>
      </w:r>
      <w:r>
        <w:t>El servicio comenzará con una reunión de onboarding para definir zonas, perfil de cliente, criterios de cualificación, oferta y material disponible.</w:t>
      </w:r>
    </w:p>
    <w:p>
      <w:pPr>
        <w:spacing w:after="120"/>
        <w:jc w:val="both"/>
      </w:pPr>
      <w:r>
        <w:rPr>
          <w:b/>
          <w:color w:val="1F2A44"/>
        </w:rPr>
        <w:t xml:space="preserve">6.2. </w:t>
      </w:r>
      <w:r>
        <w:t>El montaje del sistema se realizará en un plazo de 48 horas desde que la Agencia disponga de toda la información y el material necesarios.</w:t>
      </w:r>
    </w:p>
    <w:p>
      <w:pPr>
        <w:spacing w:after="120"/>
        <w:jc w:val="both"/>
      </w:pPr>
      <w:r>
        <w:rPr>
          <w:b/>
          <w:color w:val="1F2A44"/>
        </w:rPr>
        <w:t xml:space="preserve">6.3. </w:t>
      </w:r>
      <w:r>
        <w:t>Los plazos de montaje podrán ampliarse cuando la demora se deba a la falta de respuesta, a la ausencia de material o a cualquier otra causa imputable al Cliente.</w:t>
      </w:r>
    </w:p>
    <w:p>
      <w:pPr>
        <w:spacing w:after="120"/>
        <w:jc w:val="both"/>
      </w:pPr>
      <w:r>
        <w:rPr>
          <w:b/>
          <w:color w:val="1F2A44"/>
        </w:rPr>
        <w:t xml:space="preserve">6.4. </w:t>
      </w:r>
      <w:r>
        <w:t>Las partes celebrarán reuniones de seguimiento semanales durante el primer mes y quincenales durante el resto de la vigencia, además de un balance anual.</w:t>
      </w:r>
    </w:p>
    <w:p>
      <w:pPr>
        <w:keepNext/>
        <w:spacing w:before="320" w:after="100"/>
        <w:pBdr>
          <w:bottom w:val="single" w:sz="4" w:space="3" w:color="E8EDF3"/>
        </w:pBdr>
      </w:pPr>
      <w:r>
        <w:rPr>
          <w:b/>
          <w:color w:val="1F2A44"/>
          <w:sz w:val="23"/>
        </w:rPr>
        <w:t>7. Obligaciones del Cliente</w:t>
      </w:r>
    </w:p>
    <w:p>
      <w:pPr>
        <w:spacing w:after="140"/>
        <w:jc w:val="both"/>
      </w:pPr>
      <w:r>
        <w:t>El Cliente se compromete a: (a) aportar la información, los accesos y el material audiovisual y de marca necesarios en los plazos acordados; (b) atender y gestionar todos los contactos generados por el sistema en los tiempos recomendados; (c) mantener activa la inversión publicitaria acordada; (d) no revender ni compartir los materiales, guiones, estructuras o automatizaciones entregados; y (e) no modificar campañas ni automatizaciones sin autorización previa de la Agencia. El Cliente reconoce que los resultados dependen también de su implicación comercial y de factores externos no controlados por la Agencia, la cual no sustituye el cierre comercial de ventas del Cliente.</w:t>
      </w:r>
    </w:p>
    <w:p>
      <w:pPr>
        <w:keepNext/>
        <w:spacing w:before="320" w:after="100"/>
        <w:pBdr>
          <w:bottom w:val="single" w:sz="4" w:space="3" w:color="E8EDF3"/>
        </w:pBdr>
      </w:pPr>
      <w:r>
        <w:rPr>
          <w:b/>
          <w:color w:val="1F2A44"/>
          <w:sz w:val="23"/>
        </w:rPr>
        <w:t>8. Soporte y comunicaciones</w:t>
      </w:r>
    </w:p>
    <w:p>
      <w:pPr>
        <w:spacing w:after="140"/>
        <w:jc w:val="both"/>
      </w:pPr>
      <w:r>
        <w:t>La Agencia prestará soporte sobre el sistema contratado a través de los canales acordados con el Cliente; los canales concretos y los tiempos de respuesta se fijarán por escrito antes de firmar. Las credenciales de acceso a las plataformas se mantendrán confidenciales y cualquier compromiso de seguridad se comunicará de inmediato. Cualquier servicio a medida o cambio de alcance requerirá presupuesto y aceptación previa por escrito, y las modificaciones del contrato deberán ser aceptadas por ambas partes en el mismo forma.</w:t>
      </w:r>
    </w:p>
    <w:p>
      <w:pPr>
        <w:keepNext/>
        <w:spacing w:before="320" w:after="100"/>
        <w:pBdr>
          <w:bottom w:val="single" w:sz="4" w:space="3" w:color="E8EDF3"/>
        </w:pBdr>
      </w:pPr>
      <w:r>
        <w:rPr>
          <w:b/>
          <w:color w:val="1F2A44"/>
          <w:sz w:val="23"/>
        </w:rPr>
        <w:t>9. Confidencialidad y protección de datos</w:t>
      </w:r>
    </w:p>
    <w:p>
      <w:pPr>
        <w:spacing w:after="140"/>
        <w:jc w:val="both"/>
      </w:pPr>
      <w:r>
        <w:t>Ambas partes se comprometen a mantener la confidencialidad de la información intercambiada —estrategias, procesos, datos internos, automatizaciones e información comercial— durante la vigencia del contrato y con posterioridad a su extinción, y a cumplir la normativa vigente en materia de protección de datos (RGPD y LOPDGDD). Los datos de los contactos generados pertenecen al Cliente; la Agencia los tratará como encargada del tratamiento conforme al anexo que, en su caso, se suscriba.</w:t>
      </w:r>
    </w:p>
    <w:p>
      <w:pPr>
        <w:keepNext/>
        <w:spacing w:before="320" w:after="100"/>
        <w:pBdr>
          <w:bottom w:val="single" w:sz="4" w:space="3" w:color="E8EDF3"/>
        </w:pBdr>
      </w:pPr>
      <w:r>
        <w:rPr>
          <w:b/>
          <w:color w:val="1F2A44"/>
          <w:sz w:val="23"/>
        </w:rPr>
        <w:t>10. Propiedad intelectual</w:t>
      </w:r>
    </w:p>
    <w:p>
      <w:pPr>
        <w:spacing w:after="140"/>
        <w:jc w:val="both"/>
      </w:pPr>
      <w:r>
        <w:t>Todos los contenidos, guiones, estructuras, automatizaciones, textos, diseños y metodologías del sistema MAC 360 pertenecen a la Agencia. El Cliente no adquiere propiedad intelectual sobre los materiales entregados, y queda prohibida su reproducción total o parcial o su uso para prestar servicios a terceros sin autorización expresa.</w:t>
      </w:r>
    </w:p>
    <w:p>
      <w:pPr>
        <w:keepNext/>
        <w:spacing w:before="320" w:after="100"/>
        <w:pBdr>
          <w:bottom w:val="single" w:sz="4" w:space="3" w:color="E8EDF3"/>
        </w:pBdr>
      </w:pPr>
      <w:r>
        <w:rPr>
          <w:b/>
          <w:color w:val="1F2A44"/>
          <w:sz w:val="23"/>
        </w:rPr>
        <w:t>11. Uso de imagen y testimonios</w:t>
      </w:r>
    </w:p>
    <w:p>
      <w:pPr>
        <w:spacing w:after="140"/>
        <w:jc w:val="both"/>
      </w:pPr>
      <w:r>
        <w:t>Salvo comunicación expresa en contra por escrito, el Cliente autoriza a la Agencia a utilizar testimonios, resultados y casos de éxito derivados del servicio con fines promocionales y comerciales.</w:t>
      </w:r>
    </w:p>
    <w:p>
      <w:pPr>
        <w:keepNext/>
        <w:spacing w:before="320" w:after="100"/>
        <w:pBdr>
          <w:bottom w:val="single" w:sz="4" w:space="3" w:color="E8EDF3"/>
        </w:pBdr>
      </w:pPr>
      <w:r>
        <w:rPr>
          <w:b/>
          <w:color w:val="1F2A44"/>
          <w:sz w:val="23"/>
        </w:rPr>
        <w:t>12. Resolución y cancelaciones</w:t>
      </w:r>
    </w:p>
    <w:p>
      <w:pPr>
        <w:spacing w:after="140"/>
        <w:jc w:val="both"/>
      </w:pPr>
      <w:r>
        <w:t>El contrato podrá resolverse por incumplimiento grave de cualquiera de las partes, previo requerimiento fehaciente y plazo de subsanación de quince (15) días. La terminación anticipada por voluntad del Cliente no dará derecho a devolución de las cantidades ya devengadas, sin perjuicio de la garantía prevista en la cláusula 5.</w:t>
      </w:r>
    </w:p>
    <w:p>
      <w:pPr>
        <w:keepNext/>
        <w:spacing w:before="320" w:after="100"/>
        <w:pBdr>
          <w:bottom w:val="single" w:sz="4" w:space="3" w:color="E8EDF3"/>
        </w:pBdr>
      </w:pPr>
      <w:r>
        <w:rPr>
          <w:b/>
          <w:color w:val="1F2A44"/>
          <w:sz w:val="23"/>
        </w:rPr>
        <w:t>13. Legislación y jurisdicción</w:t>
      </w:r>
    </w:p>
    <w:p>
      <w:pPr>
        <w:spacing w:after="140"/>
        <w:jc w:val="both"/>
      </w:pPr>
      <w:r>
        <w:t>El presente contrato se rige por la legislación española. Para cualquier controversia, las partes se someten a los juzgados de ______________, salvo que la normativa aplicable disponga otro fuero.</w:t>
      </w:r>
    </w:p>
    <w:p>
      <w:pPr>
        <w:spacing w:after="400"/>
        <w:jc w:val="both"/>
      </w:pPr>
      <w:r>
        <w:t>Y en prueba de conformidad, las partes firman el presente documento por duplicado en el lugar y fecha indicados.</w:t>
      </w:r>
    </w:p>
    <w:tbl>
      <w:tblPr>
        <w:tblW w:type="auto" w:w="0"/>
        <w:jc w:val="center"/>
        <w:tblLayout w:type="fixed"/>
        <w:tblLook w:firstColumn="1" w:firstRow="1" w:lastColumn="0" w:lastRow="0" w:noHBand="0" w:noVBand="1" w:val="04A0"/>
      </w:tblPr>
      <w:tblGrid>
        <w:gridCol w:w="4703"/>
        <w:gridCol w:w="4703"/>
      </w:tblGrid>
      <w:tr>
        <w:tc>
          <w:tcPr>
            <w:tcW w:type="dxa" w:w="4479"/>
            <w:tcBorders>
              <w:top w:val="single" w:sz="8" w:color="1F2A44" w:space="0"/>
              <w:left w:val="nil"/>
              <w:bottom w:val="nil"/>
              <w:right w:val="nil"/>
            </w:tcBorders>
          </w:tcPr>
          <w:p>
            <w:pPr>
              <w:spacing w:before="200" w:after="80"/>
            </w:pPr>
            <w:r>
              <w:rPr>
                <w:b/>
                <w:color w:val="1F2A44"/>
                <w:sz w:val="20"/>
              </w:rPr>
              <w:t>Por la Agencia</w:t>
            </w:r>
          </w:p>
          <w:p>
            <w:pPr>
              <w:spacing w:after="40"/>
            </w:pPr>
            <w:r>
              <w:rPr>
                <w:sz w:val="20"/>
              </w:rPr>
              <w:t>Firma: ______________________</w:t>
            </w:r>
          </w:p>
          <w:p>
            <w:r>
              <w:rPr>
                <w:sz w:val="20"/>
              </w:rPr>
              <w:t>Fecha: ______________________</w:t>
            </w:r>
          </w:p>
        </w:tc>
        <w:tc>
          <w:tcPr>
            <w:tcW w:type="dxa" w:w="4479"/>
            <w:tcBorders>
              <w:top w:val="single" w:sz="8" w:color="1F2A44" w:space="0"/>
              <w:left w:val="nil"/>
              <w:bottom w:val="nil"/>
              <w:right w:val="nil"/>
            </w:tcBorders>
          </w:tcPr>
          <w:p>
            <w:pPr>
              <w:spacing w:before="200" w:after="80"/>
            </w:pPr>
            <w:r>
              <w:rPr>
                <w:b/>
                <w:color w:val="1F2A44"/>
                <w:sz w:val="20"/>
              </w:rPr>
              <w:t>Por el Cliente</w:t>
            </w:r>
          </w:p>
          <w:p>
            <w:pPr>
              <w:spacing w:after="40"/>
            </w:pPr>
            <w:r>
              <w:rPr>
                <w:sz w:val="20"/>
              </w:rPr>
              <w:t>Firma: ______________________</w:t>
            </w:r>
          </w:p>
          <w:p>
            <w:r>
              <w:rPr>
                <w:sz w:val="20"/>
              </w:rPr>
              <w:t>Fecha: ______________________</w:t>
            </w:r>
          </w:p>
        </w:tc>
      </w:tr>
    </w:tbl>
    <w:sectPr w:rsidR="00FC693F" w:rsidRPr="0006063C" w:rsidSect="00034616">
      <w:headerReference w:type="default" r:id="rId9"/>
      <w:headerReference w:type="first" r:id="rId10"/>
      <w:footerReference w:type="default" r:id="rId11"/>
      <w:footerReference w:type="first" r:id="rId12"/>
      <w:pgSz w:w="12240" w:h="15840"/>
      <w:pgMar w:top="1361" w:right="1417" w:bottom="1247" w:left="141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jc w:val="right"/>
      <w:pBdr>
        <w:top w:val="single" w:sz="6" w:space="8" w:color="D9DEE7"/>
      </w:pBdr>
    </w:pPr>
    <w:r>
      <w:rPr>
        <w:color w:val="5C6678"/>
        <w:sz w:val="17"/>
      </w:rPr>
      <w:t xml:space="preserve">MAC 360 · Contrato tipo anual · Página </w:t>
    </w:r>
    <w:fldSimple w:instr="PAGE">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jc w:val="right"/>
      <w:pBdr>
        <w:top w:val="single" w:sz="6" w:space="8" w:color="D9DEE7"/>
      </w:pBdr>
    </w:pPr>
    <w:r>
      <w:rPr>
        <w:color w:val="5C6678"/>
        <w:sz w:val="17"/>
      </w:rPr>
      <w:t xml:space="preserve">MAC 360 · Contrato tipo anual · Página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Bdr>
        <w:bottom w:val="single" w:sz="6" w:space="8" w:color="D9DEE7"/>
      </w:pBdr>
    </w:pPr>
    <w:r>
      <w:drawing>
        <wp:inline xmlns:a="http://schemas.openxmlformats.org/drawingml/2006/main" xmlns:pic="http://schemas.openxmlformats.org/drawingml/2006/picture">
          <wp:extent cx="1296000" cy="302176"/>
          <wp:docPr id="1" name="Picture 1"/>
          <wp:cNvGraphicFramePr>
            <a:graphicFrameLocks noChangeAspect="1"/>
          </wp:cNvGraphicFramePr>
          <a:graphic>
            <a:graphicData uri="http://schemas.openxmlformats.org/drawingml/2006/picture">
              <pic:pic>
                <pic:nvPicPr>
                  <pic:cNvPr id="0" name="mac360.png"/>
                  <pic:cNvPicPr/>
                </pic:nvPicPr>
                <pic:blipFill>
                  <a:blip r:embed="rId1"/>
                  <a:stretch>
                    <a:fillRect/>
                  </a:stretch>
                </pic:blipFill>
                <pic:spPr>
                  <a:xfrm>
                    <a:off x="0" y="0"/>
                    <a:ext cx="1296000" cy="302176"/>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tipo MAC 360 · Oferta anual de 5.000 €</dc:title>
  <dc:subject>Servicio MAC 360 de captación, cualificación y seguimiento · Doce meses</dc:subject>
  <dc:creator>MAC 360</dc:creator>
  <cp:keywords/>
  <dc:description>Contrato tipo para la presentación general de MAC 360.</dc:description>
  <cp:lastModifiedBy/>
  <cp:revision>1</cp:revision>
  <dcterms:created xsi:type="dcterms:W3CDTF">2013-12-23T23:15:00Z</dcterms:created>
  <dcterms:modified xsi:type="dcterms:W3CDTF">2013-12-23T23:15:00Z</dcterms:modified>
  <cp:category/>
</cp:coreProperties>
</file>